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1A2" w:rsidRPr="00930608" w:rsidRDefault="00E241A2" w:rsidP="00930608">
      <w:pPr>
        <w:jc w:val="center"/>
        <w:rPr>
          <w:rFonts w:ascii="Verdana" w:hAnsi="Verdana"/>
          <w:sz w:val="28"/>
          <w:szCs w:val="28"/>
        </w:rPr>
      </w:pPr>
      <w:r w:rsidRPr="00930608">
        <w:rPr>
          <w:rFonts w:ascii="Verdana" w:hAnsi="Verdana"/>
          <w:sz w:val="28"/>
          <w:szCs w:val="28"/>
        </w:rPr>
        <w:t>Tree of Life</w:t>
      </w:r>
    </w:p>
    <w:p w:rsidR="00E241A2" w:rsidRPr="00930608" w:rsidRDefault="00E241A2" w:rsidP="00930608">
      <w:pPr>
        <w:pStyle w:val="ListParagraph"/>
        <w:numPr>
          <w:ilvl w:val="0"/>
          <w:numId w:val="1"/>
        </w:numPr>
        <w:jc w:val="both"/>
        <w:rPr>
          <w:rFonts w:ascii="Verdana" w:eastAsia="Times New Roman" w:hAnsi="Verdana" w:cs="Times New Roman"/>
          <w:b/>
          <w:bCs/>
          <w:sz w:val="20"/>
          <w:szCs w:val="20"/>
        </w:rPr>
      </w:pPr>
      <w:r w:rsidRPr="00930608">
        <w:rPr>
          <w:rFonts w:ascii="Verdana" w:eastAsia="Times New Roman" w:hAnsi="Verdana" w:cs="Times New Roman"/>
          <w:b/>
          <w:bCs/>
          <w:sz w:val="20"/>
          <w:szCs w:val="20"/>
          <w:u w:val="single"/>
        </w:rPr>
        <w:t>Eubacteria</w:t>
      </w:r>
      <w:r w:rsidRPr="00930608">
        <w:rPr>
          <w:rFonts w:ascii="Verdana" w:eastAsia="Times New Roman" w:hAnsi="Verdana" w:cs="Times New Roman"/>
          <w:sz w:val="20"/>
          <w:szCs w:val="20"/>
        </w:rPr>
        <w:t xml:space="preserve"> ("True bacteria", mitochondria, and chloroplasts)</w:t>
      </w:r>
      <w:r w:rsidRPr="00930608">
        <w:rPr>
          <w:rFonts w:ascii="Verdana" w:eastAsia="Times New Roman" w:hAnsi="Verdana" w:cs="Times New Roman"/>
          <w:b/>
          <w:bCs/>
          <w:sz w:val="20"/>
          <w:szCs w:val="20"/>
        </w:rPr>
        <w:t xml:space="preserve"> </w:t>
      </w:r>
      <w:r w:rsidR="0064765E" w:rsidRPr="00930608">
        <w:rPr>
          <w:rFonts w:ascii="Verdana" w:eastAsia="Times New Roman" w:hAnsi="Verdana" w:cs="Times New Roman"/>
          <w:b/>
          <w:bCs/>
          <w:sz w:val="20"/>
          <w:szCs w:val="20"/>
        </w:rPr>
        <w:t>- Prokaryote</w:t>
      </w:r>
    </w:p>
    <w:p w:rsidR="00E241A2" w:rsidRPr="00930608" w:rsidRDefault="00E241A2" w:rsidP="00930608">
      <w:pPr>
        <w:pStyle w:val="ListParagraph"/>
        <w:numPr>
          <w:ilvl w:val="0"/>
          <w:numId w:val="1"/>
        </w:numPr>
        <w:jc w:val="both"/>
        <w:rPr>
          <w:rFonts w:ascii="Verdana" w:eastAsia="Times New Roman" w:hAnsi="Verdana" w:cs="Times New Roman"/>
          <w:sz w:val="20"/>
          <w:szCs w:val="20"/>
        </w:rPr>
      </w:pPr>
      <w:proofErr w:type="spellStart"/>
      <w:r w:rsidRPr="00930608">
        <w:rPr>
          <w:rFonts w:ascii="Verdana" w:eastAsia="Times New Roman" w:hAnsi="Verdana" w:cs="Times New Roman"/>
          <w:b/>
          <w:bCs/>
          <w:sz w:val="20"/>
          <w:szCs w:val="20"/>
          <w:u w:val="single"/>
        </w:rPr>
        <w:t>Archaea</w:t>
      </w:r>
      <w:proofErr w:type="spellEnd"/>
      <w:r w:rsidRPr="00930608">
        <w:rPr>
          <w:rFonts w:ascii="Verdana" w:eastAsia="Times New Roman" w:hAnsi="Verdana" w:cs="Times New Roman"/>
          <w:sz w:val="20"/>
          <w:szCs w:val="20"/>
        </w:rPr>
        <w:t xml:space="preserve"> (Methanogens, Halophiles, </w:t>
      </w:r>
      <w:proofErr w:type="spellStart"/>
      <w:r w:rsidRPr="00930608">
        <w:rPr>
          <w:rFonts w:ascii="Verdana" w:eastAsia="Times New Roman" w:hAnsi="Verdana" w:cs="Times New Roman"/>
          <w:sz w:val="20"/>
          <w:szCs w:val="20"/>
        </w:rPr>
        <w:t>Sulfolobus</w:t>
      </w:r>
      <w:proofErr w:type="spellEnd"/>
      <w:r w:rsidRPr="00930608">
        <w:rPr>
          <w:rFonts w:ascii="Verdana" w:eastAsia="Times New Roman" w:hAnsi="Verdana" w:cs="Times New Roman"/>
          <w:sz w:val="20"/>
          <w:szCs w:val="20"/>
        </w:rPr>
        <w:t>, and relatives</w:t>
      </w:r>
      <w:r w:rsidR="00C90E54" w:rsidRPr="00930608">
        <w:rPr>
          <w:rFonts w:ascii="Verdana" w:eastAsia="Times New Roman" w:hAnsi="Verdana" w:cs="Times New Roman"/>
          <w:sz w:val="20"/>
          <w:szCs w:val="20"/>
        </w:rPr>
        <w:t>) -</w:t>
      </w:r>
      <w:r w:rsidR="0064765E" w:rsidRPr="00930608">
        <w:rPr>
          <w:rFonts w:ascii="Verdana" w:eastAsia="Times New Roman" w:hAnsi="Verdana" w:cs="Times New Roman"/>
          <w:sz w:val="20"/>
          <w:szCs w:val="20"/>
        </w:rPr>
        <w:t xml:space="preserve"> </w:t>
      </w:r>
      <w:r w:rsidR="0064765E" w:rsidRPr="00930608">
        <w:rPr>
          <w:rFonts w:ascii="Verdana" w:eastAsia="Times New Roman" w:hAnsi="Verdana" w:cs="Times New Roman"/>
          <w:b/>
          <w:bCs/>
          <w:sz w:val="20"/>
          <w:szCs w:val="20"/>
        </w:rPr>
        <w:t>Prokaryote</w:t>
      </w:r>
    </w:p>
    <w:p w:rsidR="00E241A2" w:rsidRPr="00930608" w:rsidRDefault="00E241A2" w:rsidP="00930608">
      <w:pPr>
        <w:pStyle w:val="ListParagraph"/>
        <w:numPr>
          <w:ilvl w:val="0"/>
          <w:numId w:val="1"/>
        </w:numPr>
        <w:jc w:val="both"/>
        <w:rPr>
          <w:rFonts w:ascii="Verdana" w:eastAsia="Times New Roman" w:hAnsi="Verdana" w:cs="Times New Roman"/>
          <w:sz w:val="20"/>
          <w:szCs w:val="20"/>
        </w:rPr>
      </w:pPr>
      <w:r w:rsidRPr="00930608">
        <w:rPr>
          <w:rFonts w:ascii="Verdana" w:eastAsia="Times New Roman" w:hAnsi="Verdana" w:cs="Times New Roman"/>
          <w:b/>
          <w:bCs/>
          <w:sz w:val="20"/>
          <w:szCs w:val="20"/>
          <w:u w:val="single"/>
        </w:rPr>
        <w:t>Eukaryotes</w:t>
      </w:r>
      <w:r w:rsidRPr="00930608">
        <w:rPr>
          <w:rFonts w:ascii="Verdana" w:eastAsia="Times New Roman" w:hAnsi="Verdana" w:cs="Times New Roman"/>
          <w:b/>
          <w:bCs/>
          <w:sz w:val="20"/>
          <w:szCs w:val="20"/>
        </w:rPr>
        <w:t xml:space="preserve"> </w:t>
      </w:r>
      <w:r w:rsidRPr="00930608">
        <w:rPr>
          <w:rFonts w:ascii="Verdana" w:eastAsia="Times New Roman" w:hAnsi="Verdana" w:cs="Times New Roman"/>
          <w:sz w:val="20"/>
          <w:szCs w:val="20"/>
        </w:rPr>
        <w:t>(</w:t>
      </w:r>
      <w:proofErr w:type="spellStart"/>
      <w:r w:rsidRPr="00930608">
        <w:rPr>
          <w:rFonts w:ascii="Verdana" w:eastAsia="Times New Roman" w:hAnsi="Verdana" w:cs="Times New Roman"/>
          <w:sz w:val="20"/>
          <w:szCs w:val="20"/>
        </w:rPr>
        <w:t>Protists</w:t>
      </w:r>
      <w:proofErr w:type="spellEnd"/>
      <w:r w:rsidRPr="00930608">
        <w:rPr>
          <w:rFonts w:ascii="Verdana" w:eastAsia="Times New Roman" w:hAnsi="Verdana" w:cs="Times New Roman"/>
          <w:sz w:val="20"/>
          <w:szCs w:val="20"/>
        </w:rPr>
        <w:t>, Plants, Fungi, Animals, Algae</w:t>
      </w:r>
      <w:bookmarkStart w:id="0" w:name="Algae"/>
      <w:bookmarkEnd w:id="0"/>
      <w:r w:rsidRPr="00930608">
        <w:rPr>
          <w:rFonts w:ascii="Verdana" w:eastAsia="Times New Roman" w:hAnsi="Verdana" w:cs="Times New Roman"/>
          <w:sz w:val="20"/>
          <w:szCs w:val="20"/>
        </w:rPr>
        <w:t>, etc.)</w:t>
      </w:r>
    </w:p>
    <w:p w:rsidR="00E241A2" w:rsidRPr="00E241A2" w:rsidRDefault="00E241A2" w:rsidP="000A6AC0">
      <w:pPr>
        <w:jc w:val="both"/>
        <w:rPr>
          <w:rFonts w:ascii="Verdana" w:hAnsi="Verdana"/>
          <w:sz w:val="27"/>
          <w:szCs w:val="27"/>
        </w:rPr>
      </w:pPr>
    </w:p>
    <w:p w:rsidR="000A6AC0" w:rsidRPr="00E241A2" w:rsidRDefault="000A6AC0" w:rsidP="000A6AC0">
      <w:pPr>
        <w:jc w:val="both"/>
      </w:pPr>
      <w:r w:rsidRPr="00E241A2">
        <w:rPr>
          <w:rFonts w:ascii="Verdana" w:hAnsi="Verdana"/>
          <w:sz w:val="27"/>
          <w:szCs w:val="27"/>
        </w:rPr>
        <w:t>Domains</w:t>
      </w:r>
      <w:r w:rsidRPr="00E241A2">
        <w:rPr>
          <w:rFonts w:ascii="Verdana" w:hAnsi="Verdana"/>
          <w:sz w:val="27"/>
          <w:szCs w:val="27"/>
        </w:rPr>
        <w:t xml:space="preserve"> </w:t>
      </w:r>
      <w:proofErr w:type="spellStart"/>
      <w:r w:rsidRPr="00E241A2">
        <w:rPr>
          <w:rFonts w:ascii="Verdana" w:hAnsi="Verdana"/>
          <w:sz w:val="27"/>
          <w:szCs w:val="27"/>
        </w:rPr>
        <w:t>Archaea</w:t>
      </w:r>
      <w:proofErr w:type="spellEnd"/>
      <w:r w:rsidRPr="00E241A2">
        <w:rPr>
          <w:rFonts w:ascii="Verdana" w:hAnsi="Verdana"/>
          <w:sz w:val="27"/>
          <w:szCs w:val="27"/>
        </w:rPr>
        <w:t xml:space="preserve"> </w:t>
      </w:r>
      <w:r w:rsidRPr="00E241A2">
        <w:rPr>
          <w:rFonts w:ascii="Verdana" w:hAnsi="Verdana"/>
          <w:sz w:val="27"/>
          <w:szCs w:val="27"/>
        </w:rPr>
        <w:t>and</w:t>
      </w:r>
      <w:r w:rsidRPr="00E241A2">
        <w:rPr>
          <w:rFonts w:ascii="Verdana" w:hAnsi="Verdana"/>
          <w:sz w:val="27"/>
          <w:szCs w:val="27"/>
        </w:rPr>
        <w:t xml:space="preserve"> </w:t>
      </w:r>
      <w:r w:rsidRPr="00E241A2">
        <w:rPr>
          <w:rFonts w:ascii="Verdana" w:hAnsi="Verdana"/>
          <w:sz w:val="27"/>
          <w:szCs w:val="27"/>
        </w:rPr>
        <w:t>Bacteria</w:t>
      </w:r>
    </w:p>
    <w:p w:rsidR="000A6AC0" w:rsidRPr="00E241A2" w:rsidRDefault="000A6AC0" w:rsidP="000A6AC0">
      <w:pPr>
        <w:jc w:val="both"/>
        <w:rPr>
          <w:rFonts w:ascii="Arial" w:eastAsia="Times New Roman" w:hAnsi="Arial" w:cs="Arial"/>
          <w:sz w:val="20"/>
          <w:szCs w:val="20"/>
        </w:rPr>
      </w:pPr>
      <w:r w:rsidRPr="000A6AC0">
        <w:rPr>
          <w:rFonts w:ascii="Arial" w:eastAsia="Times New Roman" w:hAnsi="Arial" w:cs="Arial"/>
          <w:sz w:val="20"/>
          <w:szCs w:val="20"/>
        </w:rPr>
        <w:t xml:space="preserve">Until the 1980's with the advent of genomic sequencing techniques, bacteria were the only recognized group of single-celled organisms to have </w:t>
      </w:r>
      <w:proofErr w:type="spellStart"/>
      <w:r w:rsidRPr="000A6AC0">
        <w:rPr>
          <w:rFonts w:ascii="Arial" w:eastAsia="Times New Roman" w:hAnsi="Arial" w:cs="Arial"/>
          <w:sz w:val="20"/>
          <w:szCs w:val="20"/>
        </w:rPr>
        <w:t>procaryotic</w:t>
      </w:r>
      <w:proofErr w:type="spellEnd"/>
      <w:r w:rsidRPr="000A6AC0">
        <w:rPr>
          <w:rFonts w:ascii="Arial" w:eastAsia="Times New Roman" w:hAnsi="Arial" w:cs="Arial"/>
          <w:sz w:val="20"/>
          <w:szCs w:val="20"/>
        </w:rPr>
        <w:t xml:space="preserve"> cells not containing a nucleus. </w:t>
      </w:r>
      <w:proofErr w:type="spellStart"/>
      <w:r w:rsidRPr="000A6AC0">
        <w:rPr>
          <w:rFonts w:ascii="Arial" w:eastAsia="Times New Roman" w:hAnsi="Arial" w:cs="Arial"/>
          <w:sz w:val="20"/>
          <w:szCs w:val="20"/>
        </w:rPr>
        <w:t>Phylogenetics</w:t>
      </w:r>
      <w:proofErr w:type="spellEnd"/>
      <w:r w:rsidRPr="000A6AC0">
        <w:rPr>
          <w:rFonts w:ascii="Arial" w:eastAsia="Times New Roman" w:hAnsi="Arial" w:cs="Arial"/>
          <w:sz w:val="20"/>
          <w:szCs w:val="20"/>
        </w:rPr>
        <w:t xml:space="preserve"> (see references 1-4 below) enabled the discovery of another group of </w:t>
      </w:r>
      <w:proofErr w:type="spellStart"/>
      <w:r w:rsidRPr="000A6AC0">
        <w:rPr>
          <w:rFonts w:ascii="Arial" w:eastAsia="Times New Roman" w:hAnsi="Arial" w:cs="Arial"/>
          <w:sz w:val="20"/>
          <w:szCs w:val="20"/>
        </w:rPr>
        <w:t>procaryotes</w:t>
      </w:r>
      <w:proofErr w:type="spellEnd"/>
      <w:r w:rsidRPr="000A6AC0">
        <w:rPr>
          <w:rFonts w:ascii="Arial" w:eastAsia="Times New Roman" w:hAnsi="Arial" w:cs="Arial"/>
          <w:sz w:val="20"/>
          <w:szCs w:val="20"/>
        </w:rPr>
        <w:t xml:space="preserve"> that was initially and informally named "</w:t>
      </w:r>
      <w:proofErr w:type="spellStart"/>
      <w:r w:rsidRPr="000A6AC0">
        <w:rPr>
          <w:rFonts w:ascii="Arial" w:eastAsia="Times New Roman" w:hAnsi="Arial" w:cs="Arial"/>
          <w:sz w:val="20"/>
          <w:szCs w:val="20"/>
        </w:rPr>
        <w:t>archaebacteria</w:t>
      </w:r>
      <w:proofErr w:type="spellEnd"/>
      <w:r w:rsidRPr="000A6AC0">
        <w:rPr>
          <w:rFonts w:ascii="Arial" w:eastAsia="Times New Roman" w:hAnsi="Arial" w:cs="Arial"/>
          <w:sz w:val="20"/>
          <w:szCs w:val="20"/>
        </w:rPr>
        <w:t xml:space="preserve">" (now renamed </w:t>
      </w:r>
      <w:proofErr w:type="spellStart"/>
      <w:r w:rsidRPr="000A6AC0">
        <w:rPr>
          <w:rFonts w:ascii="Arial" w:eastAsia="Times New Roman" w:hAnsi="Arial" w:cs="Arial"/>
          <w:sz w:val="20"/>
          <w:szCs w:val="20"/>
        </w:rPr>
        <w:t>Archaea</w:t>
      </w:r>
      <w:proofErr w:type="spellEnd"/>
      <w:r w:rsidRPr="000A6AC0">
        <w:rPr>
          <w:rFonts w:ascii="Arial" w:eastAsia="Times New Roman" w:hAnsi="Arial" w:cs="Arial"/>
          <w:sz w:val="20"/>
          <w:szCs w:val="20"/>
        </w:rPr>
        <w:t xml:space="preserve"> since their genomes are far distant from bacteria). Actually, many </w:t>
      </w:r>
      <w:proofErr w:type="spellStart"/>
      <w:r w:rsidRPr="000A6AC0">
        <w:rPr>
          <w:rFonts w:ascii="Arial" w:eastAsia="Times New Roman" w:hAnsi="Arial" w:cs="Arial"/>
          <w:sz w:val="20"/>
          <w:szCs w:val="20"/>
        </w:rPr>
        <w:t>archaea</w:t>
      </w:r>
      <w:proofErr w:type="spellEnd"/>
      <w:r w:rsidRPr="000A6AC0">
        <w:rPr>
          <w:rFonts w:ascii="Arial" w:eastAsia="Times New Roman" w:hAnsi="Arial" w:cs="Arial"/>
          <w:sz w:val="20"/>
          <w:szCs w:val="20"/>
        </w:rPr>
        <w:t xml:space="preserve"> had long been studied extensively, but with the idea that the </w:t>
      </w:r>
      <w:proofErr w:type="spellStart"/>
      <w:r w:rsidRPr="000A6AC0">
        <w:rPr>
          <w:rFonts w:ascii="Arial" w:eastAsia="Times New Roman" w:hAnsi="Arial" w:cs="Arial"/>
          <w:sz w:val="20"/>
          <w:szCs w:val="20"/>
        </w:rPr>
        <w:t>archaea</w:t>
      </w:r>
      <w:proofErr w:type="spellEnd"/>
      <w:r w:rsidRPr="000A6AC0">
        <w:rPr>
          <w:rFonts w:ascii="Arial" w:eastAsia="Times New Roman" w:hAnsi="Arial" w:cs="Arial"/>
          <w:sz w:val="20"/>
          <w:szCs w:val="20"/>
        </w:rPr>
        <w:t xml:space="preserve"> were bacteria; sequence analysis revealed that this group of </w:t>
      </w:r>
      <w:proofErr w:type="spellStart"/>
      <w:r w:rsidRPr="000A6AC0">
        <w:rPr>
          <w:rFonts w:ascii="Arial" w:eastAsia="Times New Roman" w:hAnsi="Arial" w:cs="Arial"/>
          <w:sz w:val="20"/>
          <w:szCs w:val="20"/>
        </w:rPr>
        <w:t>procaryotes</w:t>
      </w:r>
      <w:proofErr w:type="spellEnd"/>
      <w:r w:rsidRPr="000A6AC0">
        <w:rPr>
          <w:rFonts w:ascii="Arial" w:eastAsia="Times New Roman" w:hAnsi="Arial" w:cs="Arial"/>
          <w:sz w:val="20"/>
          <w:szCs w:val="20"/>
        </w:rPr>
        <w:t xml:space="preserve"> needed placement within the Universal tree of life as a distinct Domain, alongside Bacteria and </w:t>
      </w:r>
      <w:proofErr w:type="spellStart"/>
      <w:r w:rsidRPr="000A6AC0">
        <w:rPr>
          <w:rFonts w:ascii="Arial" w:eastAsia="Times New Roman" w:hAnsi="Arial" w:cs="Arial"/>
          <w:sz w:val="20"/>
          <w:szCs w:val="20"/>
        </w:rPr>
        <w:t>Eukarya</w:t>
      </w:r>
      <w:proofErr w:type="spellEnd"/>
      <w:r w:rsidRPr="00E241A2">
        <w:rPr>
          <w:rFonts w:ascii="Arial" w:eastAsia="Times New Roman" w:hAnsi="Arial" w:cs="Arial"/>
          <w:sz w:val="20"/>
          <w:szCs w:val="20"/>
        </w:rPr>
        <w:t>.</w:t>
      </w:r>
    </w:p>
    <w:p w:rsidR="000A6AC0" w:rsidRPr="00E241A2" w:rsidRDefault="000A6AC0" w:rsidP="000A6AC0">
      <w:pPr>
        <w:jc w:val="both"/>
        <w:rPr>
          <w:rFonts w:ascii="Arial" w:eastAsia="Times New Roman" w:hAnsi="Arial" w:cs="Arial"/>
          <w:sz w:val="20"/>
          <w:szCs w:val="20"/>
        </w:rPr>
      </w:pPr>
      <w:proofErr w:type="spellStart"/>
      <w:r w:rsidRPr="000A6AC0">
        <w:rPr>
          <w:rFonts w:ascii="Arial" w:eastAsia="Times New Roman" w:hAnsi="Arial" w:cs="Arial"/>
          <w:sz w:val="20"/>
          <w:szCs w:val="20"/>
        </w:rPr>
        <w:t>Procaryotic</w:t>
      </w:r>
      <w:proofErr w:type="spellEnd"/>
      <w:r w:rsidRPr="000A6AC0">
        <w:rPr>
          <w:rFonts w:ascii="Arial" w:eastAsia="Times New Roman" w:hAnsi="Arial" w:cs="Arial"/>
          <w:sz w:val="20"/>
          <w:szCs w:val="20"/>
        </w:rPr>
        <w:t xml:space="preserve"> cells are very tiny, 1 micron across, compared to 10 to 100 microns in most </w:t>
      </w:r>
      <w:proofErr w:type="spellStart"/>
      <w:r w:rsidRPr="000A6AC0">
        <w:rPr>
          <w:rFonts w:ascii="Arial" w:eastAsia="Times New Roman" w:hAnsi="Arial" w:cs="Arial"/>
          <w:sz w:val="20"/>
          <w:szCs w:val="20"/>
        </w:rPr>
        <w:t>eucaryotic</w:t>
      </w:r>
      <w:proofErr w:type="spellEnd"/>
      <w:r w:rsidRPr="000A6AC0">
        <w:rPr>
          <w:rFonts w:ascii="Arial" w:eastAsia="Times New Roman" w:hAnsi="Arial" w:cs="Arial"/>
          <w:sz w:val="20"/>
          <w:szCs w:val="20"/>
        </w:rPr>
        <w:t xml:space="preserve"> cells. Prokaryotes are found everywhere eukaryotes are found, as well as in many environments too extreme for eukaryotes. Instances of </w:t>
      </w:r>
      <w:proofErr w:type="spellStart"/>
      <w:r w:rsidRPr="000A6AC0">
        <w:rPr>
          <w:rFonts w:ascii="Arial" w:eastAsia="Times New Roman" w:hAnsi="Arial" w:cs="Arial"/>
          <w:sz w:val="20"/>
          <w:szCs w:val="20"/>
        </w:rPr>
        <w:t>procaryote</w:t>
      </w:r>
      <w:proofErr w:type="spellEnd"/>
      <w:r w:rsidRPr="000A6AC0">
        <w:rPr>
          <w:rFonts w:ascii="Arial" w:eastAsia="Times New Roman" w:hAnsi="Arial" w:cs="Arial"/>
          <w:sz w:val="20"/>
          <w:szCs w:val="20"/>
        </w:rPr>
        <w:t xml:space="preserve"> and eukaryotes symbiosis abound. Despite their diminutive size, </w:t>
      </w:r>
      <w:proofErr w:type="spellStart"/>
      <w:r w:rsidRPr="000A6AC0">
        <w:rPr>
          <w:rFonts w:ascii="Arial" w:eastAsia="Times New Roman" w:hAnsi="Arial" w:cs="Arial"/>
          <w:sz w:val="20"/>
          <w:szCs w:val="20"/>
        </w:rPr>
        <w:t>procaryotes</w:t>
      </w:r>
      <w:proofErr w:type="spellEnd"/>
      <w:r w:rsidRPr="000A6AC0">
        <w:rPr>
          <w:rFonts w:ascii="Arial" w:eastAsia="Times New Roman" w:hAnsi="Arial" w:cs="Arial"/>
          <w:sz w:val="20"/>
          <w:szCs w:val="20"/>
        </w:rPr>
        <w:t xml:space="preserve"> are the most abundant and ubiquitous form of life on Earth. They comprise some 90 % of the total biomass in the seas. The organelles of eukaryotes (mitochondria in animals and chloroplasts in plants) are thought to be </w:t>
      </w:r>
      <w:r w:rsidRPr="00E241A2">
        <w:rPr>
          <w:rFonts w:ascii="Arial" w:eastAsia="Times New Roman" w:hAnsi="Arial" w:cs="Arial"/>
          <w:sz w:val="20"/>
          <w:szCs w:val="20"/>
          <w:u w:val="single"/>
        </w:rPr>
        <w:t xml:space="preserve">evolutionary </w:t>
      </w:r>
      <w:proofErr w:type="spellStart"/>
      <w:r w:rsidRPr="00E241A2">
        <w:rPr>
          <w:rFonts w:ascii="Arial" w:eastAsia="Times New Roman" w:hAnsi="Arial" w:cs="Arial"/>
          <w:sz w:val="20"/>
          <w:szCs w:val="20"/>
          <w:u w:val="single"/>
        </w:rPr>
        <w:t>descendents</w:t>
      </w:r>
      <w:proofErr w:type="spellEnd"/>
      <w:r w:rsidRPr="00E241A2">
        <w:rPr>
          <w:rFonts w:ascii="Arial" w:eastAsia="Times New Roman" w:hAnsi="Arial" w:cs="Arial"/>
          <w:sz w:val="20"/>
          <w:szCs w:val="20"/>
          <w:u w:val="single"/>
        </w:rPr>
        <w:t xml:space="preserve"> of Bacteria</w:t>
      </w:r>
      <w:r w:rsidRPr="000A6AC0">
        <w:rPr>
          <w:rFonts w:ascii="Arial" w:eastAsia="Times New Roman" w:hAnsi="Arial" w:cs="Arial"/>
          <w:sz w:val="20"/>
          <w:szCs w:val="20"/>
        </w:rPr>
        <w:t xml:space="preserve"> that </w:t>
      </w:r>
      <w:r w:rsidRPr="00E241A2">
        <w:rPr>
          <w:rFonts w:ascii="Arial" w:eastAsia="Times New Roman" w:hAnsi="Arial" w:cs="Arial"/>
          <w:sz w:val="20"/>
          <w:szCs w:val="20"/>
          <w:u w:val="single"/>
        </w:rPr>
        <w:t xml:space="preserve">invaded, or were captured by, primitive </w:t>
      </w:r>
      <w:proofErr w:type="spellStart"/>
      <w:r w:rsidRPr="00E241A2">
        <w:rPr>
          <w:rFonts w:ascii="Arial" w:eastAsia="Times New Roman" w:hAnsi="Arial" w:cs="Arial"/>
          <w:sz w:val="20"/>
          <w:szCs w:val="20"/>
          <w:u w:val="single"/>
        </w:rPr>
        <w:t>eukaryotes</w:t>
      </w:r>
      <w:r w:rsidRPr="000A6AC0">
        <w:rPr>
          <w:rFonts w:ascii="Arial" w:eastAsia="Times New Roman" w:hAnsi="Arial" w:cs="Arial"/>
          <w:sz w:val="20"/>
          <w:szCs w:val="20"/>
        </w:rPr>
        <w:t>more</w:t>
      </w:r>
      <w:proofErr w:type="spellEnd"/>
      <w:r w:rsidRPr="000A6AC0">
        <w:rPr>
          <w:rFonts w:ascii="Arial" w:eastAsia="Times New Roman" w:hAnsi="Arial" w:cs="Arial"/>
          <w:sz w:val="20"/>
          <w:szCs w:val="20"/>
        </w:rPr>
        <w:t xml:space="preserve"> than a billion years ago. Numerous types of extant eukaryotic cells are </w:t>
      </w:r>
      <w:proofErr w:type="spellStart"/>
      <w:r w:rsidRPr="000A6AC0">
        <w:rPr>
          <w:rFonts w:ascii="Arial" w:eastAsia="Times New Roman" w:hAnsi="Arial" w:cs="Arial"/>
          <w:sz w:val="20"/>
          <w:szCs w:val="20"/>
        </w:rPr>
        <w:t>inhabitated</w:t>
      </w:r>
      <w:proofErr w:type="spellEnd"/>
      <w:r w:rsidRPr="000A6AC0">
        <w:rPr>
          <w:rFonts w:ascii="Arial" w:eastAsia="Times New Roman" w:hAnsi="Arial" w:cs="Arial"/>
          <w:sz w:val="20"/>
          <w:szCs w:val="20"/>
        </w:rPr>
        <w:t xml:space="preserve"> by </w:t>
      </w:r>
      <w:proofErr w:type="spellStart"/>
      <w:r w:rsidRPr="000A6AC0">
        <w:rPr>
          <w:rFonts w:ascii="Arial" w:eastAsia="Times New Roman" w:hAnsi="Arial" w:cs="Arial"/>
          <w:sz w:val="20"/>
          <w:szCs w:val="20"/>
        </w:rPr>
        <w:t>endosymbiotic</w:t>
      </w:r>
      <w:proofErr w:type="spellEnd"/>
      <w:r w:rsidRPr="000A6AC0">
        <w:rPr>
          <w:rFonts w:ascii="Arial" w:eastAsia="Times New Roman" w:hAnsi="Arial" w:cs="Arial"/>
          <w:sz w:val="20"/>
          <w:szCs w:val="20"/>
        </w:rPr>
        <w:t xml:space="preserve"> </w:t>
      </w:r>
      <w:proofErr w:type="spellStart"/>
      <w:r w:rsidRPr="000A6AC0">
        <w:rPr>
          <w:rFonts w:ascii="Arial" w:eastAsia="Times New Roman" w:hAnsi="Arial" w:cs="Arial"/>
          <w:sz w:val="20"/>
          <w:szCs w:val="20"/>
        </w:rPr>
        <w:t>procaryotes</w:t>
      </w:r>
      <w:proofErr w:type="spellEnd"/>
      <w:r w:rsidRPr="000A6AC0">
        <w:rPr>
          <w:rFonts w:ascii="Arial" w:eastAsia="Times New Roman" w:hAnsi="Arial" w:cs="Arial"/>
          <w:sz w:val="20"/>
          <w:szCs w:val="20"/>
        </w:rPr>
        <w:t xml:space="preserve">. </w:t>
      </w:r>
      <w:proofErr w:type="spellStart"/>
      <w:r w:rsidRPr="000A6AC0">
        <w:rPr>
          <w:rFonts w:ascii="Arial" w:eastAsia="Times New Roman" w:hAnsi="Arial" w:cs="Arial"/>
          <w:sz w:val="20"/>
          <w:szCs w:val="20"/>
        </w:rPr>
        <w:t>Procaryotes</w:t>
      </w:r>
      <w:proofErr w:type="spellEnd"/>
      <w:r w:rsidRPr="000A6AC0">
        <w:rPr>
          <w:rFonts w:ascii="Arial" w:eastAsia="Times New Roman" w:hAnsi="Arial" w:cs="Arial"/>
          <w:sz w:val="20"/>
          <w:szCs w:val="20"/>
        </w:rPr>
        <w:t xml:space="preserve"> exhibit an amazing diversity of types of metabolism to power themselves that is nonexistent in eukaryotes. For example, the metabolic processes of nitrogen fixation (conversion of atmospheric nitrogen gas to ammonia) and </w:t>
      </w:r>
      <w:proofErr w:type="spellStart"/>
      <w:r w:rsidRPr="000A6AC0">
        <w:rPr>
          <w:rFonts w:ascii="Arial" w:eastAsia="Times New Roman" w:hAnsi="Arial" w:cs="Arial"/>
          <w:sz w:val="20"/>
          <w:szCs w:val="20"/>
        </w:rPr>
        <w:t>methanogenesis</w:t>
      </w:r>
      <w:proofErr w:type="spellEnd"/>
      <w:r w:rsidRPr="000A6AC0">
        <w:rPr>
          <w:rFonts w:ascii="Arial" w:eastAsia="Times New Roman" w:hAnsi="Arial" w:cs="Arial"/>
          <w:sz w:val="20"/>
          <w:szCs w:val="20"/>
        </w:rPr>
        <w:t xml:space="preserve"> (production of methane) are unique to </w:t>
      </w:r>
      <w:proofErr w:type="spellStart"/>
      <w:r w:rsidRPr="000A6AC0">
        <w:rPr>
          <w:rFonts w:ascii="Arial" w:eastAsia="Times New Roman" w:hAnsi="Arial" w:cs="Arial"/>
          <w:sz w:val="20"/>
          <w:szCs w:val="20"/>
        </w:rPr>
        <w:t>procaryotes</w:t>
      </w:r>
      <w:proofErr w:type="spellEnd"/>
      <w:r w:rsidRPr="000A6AC0">
        <w:rPr>
          <w:rFonts w:ascii="Arial" w:eastAsia="Times New Roman" w:hAnsi="Arial" w:cs="Arial"/>
          <w:sz w:val="20"/>
          <w:szCs w:val="20"/>
        </w:rPr>
        <w:t xml:space="preserve"> and enormously impact the nitrogen and carbon cycles in nature. Most of the </w:t>
      </w:r>
      <w:r w:rsidRPr="00E241A2">
        <w:rPr>
          <w:rFonts w:ascii="Arial" w:eastAsia="Times New Roman" w:hAnsi="Arial" w:cs="Arial"/>
          <w:sz w:val="20"/>
          <w:szCs w:val="20"/>
          <w:u w:val="single"/>
        </w:rPr>
        <w:t>earth's atmospheric oxygen was produced by free-living bacterial cells</w:t>
      </w:r>
      <w:r w:rsidRPr="00E241A2">
        <w:rPr>
          <w:rFonts w:ascii="Arial" w:eastAsia="Times New Roman" w:hAnsi="Arial" w:cs="Arial"/>
          <w:sz w:val="20"/>
          <w:szCs w:val="20"/>
        </w:rPr>
        <w:t>.</w:t>
      </w:r>
    </w:p>
    <w:p w:rsidR="000A6AC0" w:rsidRPr="00E241A2" w:rsidRDefault="000A6AC0" w:rsidP="000A6AC0">
      <w:pPr>
        <w:jc w:val="center"/>
        <w:rPr>
          <w:rFonts w:ascii="Arial" w:eastAsia="Times New Roman" w:hAnsi="Arial" w:cs="Arial"/>
          <w:sz w:val="20"/>
          <w:szCs w:val="20"/>
        </w:rPr>
      </w:pPr>
      <w:bookmarkStart w:id="1" w:name="_GoBack"/>
      <w:r w:rsidRPr="00E241A2">
        <w:rPr>
          <w:noProof/>
        </w:rPr>
        <w:drawing>
          <wp:inline distT="0" distB="0" distL="0" distR="0" wp14:anchorId="7CF2456E" wp14:editId="755E9122">
            <wp:extent cx="3990975" cy="3631132"/>
            <wp:effectExtent l="0" t="0" r="0" b="7620"/>
            <wp:docPr id="1" name="Picture 1" descr="http://www.fossilmuseum.net/Tree_of_Life/Domains_Archaea_Bacteria/Domains_of_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ossilmuseum.net/Tree_of_Life/Domains_Archaea_Bacteria/Domains_of_lif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33916" cy="3670201"/>
                    </a:xfrm>
                    <a:prstGeom prst="rect">
                      <a:avLst/>
                    </a:prstGeom>
                    <a:noFill/>
                    <a:ln>
                      <a:noFill/>
                    </a:ln>
                  </pic:spPr>
                </pic:pic>
              </a:graphicData>
            </a:graphic>
          </wp:inline>
        </w:drawing>
      </w:r>
      <w:bookmarkEnd w:id="1"/>
    </w:p>
    <w:p w:rsidR="000A6AC0" w:rsidRPr="00E241A2" w:rsidRDefault="000A6AC0" w:rsidP="000A6AC0">
      <w:pPr>
        <w:jc w:val="both"/>
        <w:rPr>
          <w:rFonts w:ascii="Arial" w:eastAsia="Times New Roman" w:hAnsi="Arial" w:cs="Arial"/>
          <w:sz w:val="20"/>
          <w:szCs w:val="20"/>
        </w:rPr>
      </w:pPr>
      <w:r w:rsidRPr="000A6AC0">
        <w:rPr>
          <w:rFonts w:ascii="Arial" w:eastAsia="Times New Roman" w:hAnsi="Arial" w:cs="Arial"/>
          <w:sz w:val="20"/>
          <w:szCs w:val="20"/>
        </w:rPr>
        <w:t xml:space="preserve">The figure above depicts at once many groups within the universal tree of life with the </w:t>
      </w:r>
      <w:proofErr w:type="spellStart"/>
      <w:r w:rsidRPr="000A6AC0">
        <w:rPr>
          <w:rFonts w:ascii="Arial" w:eastAsia="Times New Roman" w:hAnsi="Arial" w:cs="Arial"/>
          <w:sz w:val="20"/>
          <w:szCs w:val="20"/>
        </w:rPr>
        <w:t>euclidian</w:t>
      </w:r>
      <w:proofErr w:type="spellEnd"/>
      <w:r w:rsidRPr="000A6AC0">
        <w:rPr>
          <w:rFonts w:ascii="Arial" w:eastAsia="Times New Roman" w:hAnsi="Arial" w:cs="Arial"/>
          <w:sz w:val="20"/>
          <w:szCs w:val="20"/>
        </w:rPr>
        <w:t xml:space="preserve"> distance in the figure representing an evolutionary distance as determined by small subunit ribosomal RNA (</w:t>
      </w:r>
      <w:proofErr w:type="spellStart"/>
      <w:r w:rsidRPr="000A6AC0">
        <w:rPr>
          <w:rFonts w:ascii="Arial" w:eastAsia="Times New Roman" w:hAnsi="Arial" w:cs="Arial"/>
          <w:sz w:val="20"/>
          <w:szCs w:val="20"/>
        </w:rPr>
        <w:t>ssrRNA</w:t>
      </w:r>
      <w:proofErr w:type="spellEnd"/>
      <w:r w:rsidRPr="000A6AC0">
        <w:rPr>
          <w:rFonts w:ascii="Arial" w:eastAsia="Times New Roman" w:hAnsi="Arial" w:cs="Arial"/>
          <w:sz w:val="20"/>
          <w:szCs w:val="20"/>
        </w:rPr>
        <w:t>) analysis</w:t>
      </w:r>
      <w:r w:rsidRPr="00E241A2">
        <w:rPr>
          <w:rFonts w:ascii="Arial" w:eastAsia="Times New Roman" w:hAnsi="Arial" w:cs="Arial"/>
          <w:sz w:val="20"/>
          <w:szCs w:val="20"/>
        </w:rPr>
        <w:t>.</w:t>
      </w:r>
    </w:p>
    <w:p w:rsidR="000A6AC0" w:rsidRPr="00E241A2" w:rsidRDefault="000A6AC0" w:rsidP="000A6AC0">
      <w:pPr>
        <w:jc w:val="both"/>
        <w:rPr>
          <w:rFonts w:ascii="Arial" w:eastAsia="Times New Roman" w:hAnsi="Arial" w:cs="Arial"/>
          <w:sz w:val="20"/>
          <w:szCs w:val="20"/>
        </w:rPr>
      </w:pPr>
    </w:p>
    <w:sectPr w:rsidR="000A6AC0" w:rsidRPr="00E241A2" w:rsidSect="00FF4408">
      <w:pgSz w:w="12240" w:h="15840"/>
      <w:pgMar w:top="567" w:right="900"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2D4A73"/>
    <w:multiLevelType w:val="hybridMultilevel"/>
    <w:tmpl w:val="B73C0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AC0"/>
    <w:rsid w:val="000A6AC0"/>
    <w:rsid w:val="00123ABB"/>
    <w:rsid w:val="0017620E"/>
    <w:rsid w:val="00494BEC"/>
    <w:rsid w:val="005716C7"/>
    <w:rsid w:val="005C6F78"/>
    <w:rsid w:val="0064765E"/>
    <w:rsid w:val="00930608"/>
    <w:rsid w:val="00A200E3"/>
    <w:rsid w:val="00C90E54"/>
    <w:rsid w:val="00E241A2"/>
    <w:rsid w:val="00ED0A34"/>
    <w:rsid w:val="00FF44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E0E846-0335-4F55-917D-D4676AE1F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
    <w:name w:val="جدول"/>
    <w:basedOn w:val="TableNormal"/>
    <w:uiPriority w:val="99"/>
    <w:rsid w:val="00123ABB"/>
    <w:pPr>
      <w:spacing w:after="0" w:line="240" w:lineRule="auto"/>
      <w:jc w:val="right"/>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tblPr/>
      <w:tcPr>
        <w:shd w:val="clear" w:color="auto" w:fill="BFBFBF"/>
      </w:tcPr>
    </w:tblStylePr>
    <w:tblStylePr w:type="firstCol">
      <w:tblPr/>
      <w:tcPr>
        <w:shd w:val="clear" w:color="auto" w:fill="FFFFFF"/>
      </w:tcPr>
    </w:tblStylePr>
    <w:tblStylePr w:type="lastCol">
      <w:pPr>
        <w:jc w:val="right"/>
      </w:pPr>
      <w:tblPr/>
      <w:tcPr>
        <w:shd w:val="clear" w:color="auto" w:fill="BFBFBF"/>
        <w:vAlign w:val="center"/>
      </w:tcPr>
    </w:tblStylePr>
  </w:style>
  <w:style w:type="character" w:styleId="Hyperlink">
    <w:name w:val="Hyperlink"/>
    <w:basedOn w:val="DefaultParagraphFont"/>
    <w:uiPriority w:val="99"/>
    <w:semiHidden/>
    <w:unhideWhenUsed/>
    <w:rsid w:val="000A6AC0"/>
    <w:rPr>
      <w:color w:val="FFFFCC"/>
      <w:u w:val="single"/>
    </w:rPr>
  </w:style>
  <w:style w:type="paragraph" w:styleId="NormalWeb">
    <w:name w:val="Normal (Web)"/>
    <w:basedOn w:val="Normal"/>
    <w:uiPriority w:val="99"/>
    <w:semiHidden/>
    <w:unhideWhenUsed/>
    <w:rsid w:val="000A6AC0"/>
    <w:pPr>
      <w:spacing w:before="100" w:beforeAutospacing="1" w:after="100" w:afterAutospacing="1" w:line="240" w:lineRule="auto"/>
    </w:pPr>
    <w:rPr>
      <w:rFonts w:ascii="Times New Roman" w:eastAsia="Times New Roman" w:hAnsi="Times New Roman" w:cs="Times New Roman"/>
      <w:color w:val="CCCCCC"/>
      <w:sz w:val="24"/>
      <w:szCs w:val="24"/>
    </w:rPr>
  </w:style>
  <w:style w:type="paragraph" w:styleId="ListParagraph">
    <w:name w:val="List Paragraph"/>
    <w:basedOn w:val="Normal"/>
    <w:uiPriority w:val="34"/>
    <w:qFormat/>
    <w:rsid w:val="009306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2013-02-19T05:36:00Z</dcterms:created>
  <dcterms:modified xsi:type="dcterms:W3CDTF">2013-02-19T06:11:00Z</dcterms:modified>
</cp:coreProperties>
</file>